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E89BF" w14:textId="77777777" w:rsidR="00A86BAD" w:rsidRDefault="00A86BAD" w:rsidP="00C32BA5">
      <w:bookmarkStart w:id="0" w:name="_GoBack"/>
      <w:bookmarkEnd w:id="0"/>
    </w:p>
    <w:p w14:paraId="043725A7" w14:textId="77777777" w:rsidR="00A86BAD" w:rsidRDefault="00A86BAD" w:rsidP="00C32BA5">
      <w:pPr>
        <w:sectPr w:rsidR="00A86BAD" w:rsidSect="008E7191">
          <w:footerReference w:type="default" r:id="rId8"/>
          <w:pgSz w:w="11906" w:h="16838" w:code="9"/>
          <w:pgMar w:top="1440" w:right="1440" w:bottom="1440" w:left="1440" w:header="709" w:footer="709" w:gutter="0"/>
          <w:pgNumType w:start="44"/>
          <w:cols w:space="708"/>
          <w:docGrid w:linePitch="360"/>
        </w:sectPr>
      </w:pPr>
    </w:p>
    <w:p w14:paraId="52AC3329" w14:textId="75942C16" w:rsidR="00A86BAD" w:rsidRPr="00A86BAD" w:rsidRDefault="00A86BAD" w:rsidP="00A86BAD">
      <w:pPr>
        <w:spacing w:after="200" w:line="276" w:lineRule="auto"/>
        <w:contextualSpacing/>
        <w:rPr>
          <w:rFonts w:ascii="Arial" w:hAnsi="Arial" w:cs="Arial"/>
          <w:b/>
          <w:sz w:val="28"/>
          <w:szCs w:val="28"/>
        </w:rPr>
      </w:pPr>
      <w:r w:rsidRPr="00A86BAD">
        <w:rPr>
          <w:rFonts w:ascii="Arial" w:hAnsi="Arial" w:cs="Arial"/>
          <w:b/>
          <w:sz w:val="28"/>
          <w:szCs w:val="28"/>
        </w:rPr>
        <w:t xml:space="preserve">Chapter </w:t>
      </w:r>
      <w:r w:rsidR="009B5E2C">
        <w:rPr>
          <w:rFonts w:ascii="Arial" w:hAnsi="Arial" w:cs="Arial"/>
          <w:b/>
          <w:sz w:val="28"/>
          <w:szCs w:val="28"/>
        </w:rPr>
        <w:t>5</w:t>
      </w:r>
      <w:r w:rsidRPr="00A86BAD">
        <w:rPr>
          <w:rFonts w:ascii="Arial" w:hAnsi="Arial" w:cs="Arial"/>
          <w:b/>
          <w:sz w:val="28"/>
          <w:szCs w:val="28"/>
        </w:rPr>
        <w:t xml:space="preserve">: Equality </w:t>
      </w:r>
      <w:r>
        <w:rPr>
          <w:rFonts w:ascii="Arial" w:hAnsi="Arial" w:cs="Arial"/>
          <w:b/>
          <w:sz w:val="28"/>
          <w:szCs w:val="28"/>
        </w:rPr>
        <w:t>and Human Rights Screening Report</w:t>
      </w:r>
    </w:p>
    <w:p w14:paraId="33338E47" w14:textId="77777777" w:rsidR="00A86BAD" w:rsidRDefault="00A86BAD" w:rsidP="00C32BA5"/>
    <w:p w14:paraId="5BE60039" w14:textId="6C9553E7" w:rsidR="00A86BAD" w:rsidRDefault="00A86BAD" w:rsidP="00C32BA5">
      <w:pPr>
        <w:rPr>
          <w:noProof/>
        </w:rPr>
      </w:pPr>
    </w:p>
    <w:p w14:paraId="37C0BE87" w14:textId="496BBEBE" w:rsidR="00C37D38" w:rsidRDefault="003C156B" w:rsidP="00C32BA5">
      <w:r w:rsidRPr="003C156B">
        <w:rPr>
          <w:noProof/>
        </w:rPr>
        <w:drawing>
          <wp:inline distT="0" distB="0" distL="0" distR="0" wp14:anchorId="45814B3A" wp14:editId="0C2FBF7F">
            <wp:extent cx="2667372" cy="1124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7372" cy="1124107"/>
                    </a:xfrm>
                    <a:prstGeom prst="rect">
                      <a:avLst/>
                    </a:prstGeom>
                  </pic:spPr>
                </pic:pic>
              </a:graphicData>
            </a:graphic>
          </wp:inline>
        </w:drawing>
      </w:r>
    </w:p>
    <w:p w14:paraId="21A38105" w14:textId="77777777" w:rsidR="00A86BAD" w:rsidRDefault="00A86BAD" w:rsidP="00C32BA5"/>
    <w:p w14:paraId="18996F64" w14:textId="77777777" w:rsidR="00DE7F9D" w:rsidRDefault="00DE7F9D" w:rsidP="00C32BA5">
      <w:pPr>
        <w:rPr>
          <w:rFonts w:ascii="Arial" w:hAnsi="Arial" w:cs="Arial"/>
          <w:b/>
          <w:sz w:val="52"/>
          <w:szCs w:val="52"/>
          <w:lang w:eastAsia="en-US"/>
        </w:rPr>
      </w:pPr>
    </w:p>
    <w:p w14:paraId="5153093F" w14:textId="77777777" w:rsidR="00F231DA" w:rsidRDefault="00F231DA" w:rsidP="00C32BA5">
      <w:pPr>
        <w:rPr>
          <w:rFonts w:ascii="Arial" w:hAnsi="Arial" w:cs="Arial"/>
          <w:b/>
          <w:sz w:val="52"/>
          <w:szCs w:val="52"/>
          <w:lang w:eastAsia="en-US"/>
        </w:rPr>
      </w:pPr>
      <w:r w:rsidRPr="003B525C">
        <w:rPr>
          <w:rFonts w:ascii="Arial" w:hAnsi="Arial" w:cs="Arial"/>
          <w:b/>
          <w:sz w:val="52"/>
          <w:szCs w:val="52"/>
          <w:lang w:eastAsia="en-US"/>
        </w:rPr>
        <w:t>Equality and Human Rights Screening Report</w:t>
      </w:r>
    </w:p>
    <w:p w14:paraId="79969F62" w14:textId="77777777" w:rsidR="00F231DA" w:rsidRPr="003B525C" w:rsidRDefault="00F231DA" w:rsidP="00C32BA5">
      <w:pPr>
        <w:rPr>
          <w:rFonts w:ascii="Arial" w:hAnsi="Arial" w:cs="Arial"/>
          <w:b/>
          <w:sz w:val="52"/>
          <w:szCs w:val="52"/>
          <w:lang w:eastAsia="en-US"/>
        </w:rPr>
      </w:pPr>
    </w:p>
    <w:p w14:paraId="226D6937" w14:textId="70DFF032" w:rsidR="00F231DA" w:rsidRDefault="00B6360F" w:rsidP="00C32BA5">
      <w:pPr>
        <w:rPr>
          <w:rFonts w:ascii="Arial" w:hAnsi="Arial" w:cs="Arial"/>
          <w:b/>
          <w:sz w:val="52"/>
          <w:szCs w:val="52"/>
          <w:lang w:eastAsia="en-US"/>
        </w:rPr>
      </w:pPr>
      <w:r>
        <w:rPr>
          <w:rFonts w:ascii="Arial" w:hAnsi="Arial" w:cs="Arial"/>
          <w:b/>
          <w:sz w:val="52"/>
          <w:szCs w:val="52"/>
          <w:lang w:eastAsia="en-US"/>
        </w:rPr>
        <w:t>April 202</w:t>
      </w:r>
      <w:r w:rsidR="003D3EB3">
        <w:rPr>
          <w:rFonts w:ascii="Arial" w:hAnsi="Arial" w:cs="Arial"/>
          <w:b/>
          <w:sz w:val="52"/>
          <w:szCs w:val="52"/>
          <w:lang w:eastAsia="en-US"/>
        </w:rPr>
        <w:t>4</w:t>
      </w:r>
      <w:r w:rsidR="00233707">
        <w:rPr>
          <w:rFonts w:ascii="Arial" w:hAnsi="Arial" w:cs="Arial"/>
          <w:b/>
          <w:sz w:val="52"/>
          <w:szCs w:val="52"/>
          <w:lang w:eastAsia="en-US"/>
        </w:rPr>
        <w:t xml:space="preserve"> – March 20</w:t>
      </w:r>
      <w:r>
        <w:rPr>
          <w:rFonts w:ascii="Arial" w:hAnsi="Arial" w:cs="Arial"/>
          <w:b/>
          <w:sz w:val="52"/>
          <w:szCs w:val="52"/>
          <w:lang w:eastAsia="en-US"/>
        </w:rPr>
        <w:t>2</w:t>
      </w:r>
      <w:r w:rsidR="003D3EB3">
        <w:rPr>
          <w:rFonts w:ascii="Arial" w:hAnsi="Arial" w:cs="Arial"/>
          <w:b/>
          <w:sz w:val="52"/>
          <w:szCs w:val="52"/>
          <w:lang w:eastAsia="en-US"/>
        </w:rPr>
        <w:t>5</w:t>
      </w:r>
    </w:p>
    <w:p w14:paraId="4114494A" w14:textId="21D5E4F2" w:rsidR="00C37D38" w:rsidRDefault="002D5CE4" w:rsidP="00E60F02">
      <w:pPr>
        <w:spacing w:after="200" w:line="276" w:lineRule="auto"/>
        <w:rPr>
          <w:rFonts w:ascii="Arial" w:hAnsi="Arial" w:cs="Arial"/>
          <w:b/>
          <w:sz w:val="52"/>
          <w:szCs w:val="52"/>
          <w:lang w:eastAsia="en-US"/>
        </w:rPr>
      </w:pPr>
      <w:r>
        <w:rPr>
          <w:rFonts w:ascii="Arial" w:hAnsi="Arial" w:cs="Arial"/>
          <w:b/>
          <w:sz w:val="52"/>
          <w:szCs w:val="52"/>
          <w:lang w:eastAsia="en-US"/>
        </w:rPr>
        <w:br w:type="page"/>
      </w:r>
    </w:p>
    <w:p w14:paraId="71E7E141" w14:textId="6D816321" w:rsidR="005978FE" w:rsidRDefault="00C80A55" w:rsidP="00E60F02">
      <w:pPr>
        <w:spacing w:after="200" w:line="276" w:lineRule="auto"/>
        <w:rPr>
          <w:rFonts w:ascii="Arial" w:hAnsi="Arial" w:cs="Arial"/>
          <w:sz w:val="28"/>
          <w:szCs w:val="28"/>
        </w:rPr>
      </w:pPr>
      <w:r>
        <w:rPr>
          <w:rFonts w:ascii="Arial" w:hAnsi="Arial" w:cs="Arial"/>
          <w:sz w:val="28"/>
          <w:szCs w:val="28"/>
        </w:rPr>
        <w:lastRenderedPageBreak/>
        <w:t>Screenings published previously can be viewed at</w:t>
      </w:r>
      <w:r w:rsidR="005978FE" w:rsidRPr="00EE7052">
        <w:rPr>
          <w:rFonts w:ascii="Arial" w:hAnsi="Arial" w:cs="Arial"/>
          <w:sz w:val="28"/>
          <w:szCs w:val="28"/>
        </w:rPr>
        <w:t>:</w:t>
      </w:r>
      <w:r w:rsidR="005978FE">
        <w:rPr>
          <w:rFonts w:ascii="Arial" w:hAnsi="Arial" w:cs="Arial"/>
          <w:sz w:val="28"/>
          <w:szCs w:val="28"/>
        </w:rPr>
        <w:br/>
      </w:r>
    </w:p>
    <w:p w14:paraId="17C4ED77" w14:textId="03144FCB" w:rsidR="007846DF" w:rsidRDefault="004539C5" w:rsidP="00E60F02">
      <w:pPr>
        <w:spacing w:after="200" w:line="276" w:lineRule="auto"/>
        <w:rPr>
          <w:rFonts w:ascii="Arial" w:hAnsi="Arial" w:cs="Arial"/>
          <w:sz w:val="28"/>
          <w:szCs w:val="28"/>
        </w:rPr>
      </w:pPr>
      <w:hyperlink r:id="rId10" w:history="1">
        <w:r w:rsidR="007846DF" w:rsidRPr="00C44CA1">
          <w:rPr>
            <w:rStyle w:val="Hyperlink"/>
            <w:rFonts w:ascii="Arial" w:hAnsi="Arial" w:cs="Arial"/>
            <w:sz w:val="28"/>
            <w:szCs w:val="28"/>
          </w:rPr>
          <w:t>https://bso.hscni.net/directorates/people-and-place/equality-and-human-rights/equality-screening/</w:t>
        </w:r>
      </w:hyperlink>
    </w:p>
    <w:p w14:paraId="5828641C" w14:textId="77777777" w:rsidR="00723CD6" w:rsidRPr="00723CD6" w:rsidRDefault="00723CD6" w:rsidP="00E60F02">
      <w:pPr>
        <w:spacing w:after="200" w:line="276" w:lineRule="auto"/>
        <w:rPr>
          <w:rFonts w:ascii="Arial" w:hAnsi="Arial" w:cs="Arial"/>
          <w:sz w:val="28"/>
          <w:szCs w:val="28"/>
          <w:lang w:eastAsia="en-US"/>
        </w:rPr>
      </w:pPr>
    </w:p>
    <w:tbl>
      <w:tblPr>
        <w:tblW w:w="455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6"/>
        <w:gridCol w:w="3052"/>
        <w:gridCol w:w="1049"/>
        <w:gridCol w:w="1673"/>
      </w:tblGrid>
      <w:tr w:rsidR="002D5CE4" w:rsidRPr="003552E2" w14:paraId="4B96744D" w14:textId="77777777" w:rsidTr="00F92F6E">
        <w:trPr>
          <w:tblCellSpacing w:w="15" w:type="dxa"/>
        </w:trPr>
        <w:tc>
          <w:tcPr>
            <w:tcW w:w="1507" w:type="pct"/>
            <w:shd w:val="clear" w:color="auto" w:fill="20B2AA"/>
            <w:vAlign w:val="center"/>
          </w:tcPr>
          <w:p w14:paraId="13E9B990" w14:textId="6EAAA8C4" w:rsidR="002D5CE4" w:rsidRPr="00905EE7" w:rsidRDefault="00905EE7" w:rsidP="007A2960">
            <w:pPr>
              <w:pStyle w:val="NormalWeb"/>
              <w:rPr>
                <w:rFonts w:ascii="Arial" w:hAnsi="Arial" w:cs="Arial"/>
                <w:sz w:val="28"/>
                <w:szCs w:val="28"/>
              </w:rPr>
            </w:pPr>
            <w:r w:rsidRPr="00905EE7">
              <w:rPr>
                <w:rStyle w:val="Strong"/>
                <w:rFonts w:ascii="Arial" w:hAnsi="Arial" w:cs="Arial"/>
                <w:sz w:val="28"/>
                <w:szCs w:val="28"/>
              </w:rPr>
              <w:t>Policy / Procedure</w:t>
            </w:r>
          </w:p>
        </w:tc>
        <w:tc>
          <w:tcPr>
            <w:tcW w:w="1814" w:type="pct"/>
            <w:shd w:val="clear" w:color="auto" w:fill="20B2AA"/>
            <w:vAlign w:val="center"/>
          </w:tcPr>
          <w:p w14:paraId="08808BDA" w14:textId="6BC7DEC3" w:rsidR="002D5CE4" w:rsidRPr="00905EE7" w:rsidRDefault="00905EE7" w:rsidP="007A2960">
            <w:pPr>
              <w:rPr>
                <w:rFonts w:ascii="Arial" w:hAnsi="Arial" w:cs="Arial"/>
                <w:sz w:val="28"/>
                <w:szCs w:val="28"/>
              </w:rPr>
            </w:pPr>
            <w:r w:rsidRPr="00905EE7">
              <w:rPr>
                <w:rStyle w:val="Strong"/>
                <w:rFonts w:ascii="Arial" w:hAnsi="Arial" w:cs="Arial"/>
                <w:sz w:val="28"/>
                <w:szCs w:val="28"/>
              </w:rPr>
              <w:t>Policy Aims</w:t>
            </w:r>
          </w:p>
        </w:tc>
        <w:tc>
          <w:tcPr>
            <w:tcW w:w="612" w:type="pct"/>
            <w:shd w:val="clear" w:color="auto" w:fill="20B2AA"/>
            <w:vAlign w:val="center"/>
            <w:hideMark/>
          </w:tcPr>
          <w:p w14:paraId="4681E90F" w14:textId="77777777" w:rsidR="002D5CE4" w:rsidRPr="003552E2" w:rsidRDefault="002D5CE4" w:rsidP="007A2960">
            <w:pPr>
              <w:rPr>
                <w:rFonts w:ascii="Arial" w:hAnsi="Arial" w:cs="Arial"/>
                <w:sz w:val="28"/>
                <w:szCs w:val="28"/>
              </w:rPr>
            </w:pPr>
            <w:r w:rsidRPr="003552E2">
              <w:rPr>
                <w:rStyle w:val="Strong"/>
                <w:rFonts w:ascii="Arial" w:hAnsi="Arial" w:cs="Arial"/>
                <w:sz w:val="28"/>
                <w:szCs w:val="28"/>
              </w:rPr>
              <w:t>Date</w:t>
            </w:r>
          </w:p>
        </w:tc>
        <w:tc>
          <w:tcPr>
            <w:tcW w:w="977" w:type="pct"/>
            <w:shd w:val="clear" w:color="auto" w:fill="20B2AA"/>
            <w:vAlign w:val="center"/>
            <w:hideMark/>
          </w:tcPr>
          <w:p w14:paraId="00D6CD81" w14:textId="77777777" w:rsidR="002D5CE4" w:rsidRPr="003552E2" w:rsidRDefault="002D5CE4">
            <w:pPr>
              <w:rPr>
                <w:rFonts w:ascii="Arial" w:hAnsi="Arial" w:cs="Arial"/>
                <w:sz w:val="28"/>
                <w:szCs w:val="28"/>
              </w:rPr>
            </w:pPr>
            <w:r w:rsidRPr="003552E2">
              <w:rPr>
                <w:rStyle w:val="Strong"/>
                <w:rFonts w:ascii="Arial" w:hAnsi="Arial" w:cs="Arial"/>
                <w:sz w:val="28"/>
                <w:szCs w:val="28"/>
              </w:rPr>
              <w:t>Screening Decision</w:t>
            </w:r>
          </w:p>
        </w:tc>
      </w:tr>
      <w:tr w:rsidR="00876CF8" w:rsidRPr="003607AE" w14:paraId="6ED64013" w14:textId="77777777" w:rsidTr="00B34958">
        <w:trPr>
          <w:tblCellSpacing w:w="15" w:type="dxa"/>
        </w:trPr>
        <w:tc>
          <w:tcPr>
            <w:tcW w:w="1507" w:type="pct"/>
          </w:tcPr>
          <w:p w14:paraId="78999B02" w14:textId="7CBBC26D" w:rsidR="00876CF8" w:rsidRPr="003607AE" w:rsidRDefault="00876CF8" w:rsidP="003D3EB3">
            <w:pPr>
              <w:pStyle w:val="NormalWeb"/>
              <w:rPr>
                <w:rFonts w:ascii="Arial" w:hAnsi="Arial" w:cs="Arial"/>
                <w:sz w:val="28"/>
                <w:szCs w:val="28"/>
              </w:rPr>
            </w:pPr>
            <w:r w:rsidRPr="003607AE">
              <w:rPr>
                <w:rFonts w:ascii="Arial" w:hAnsi="Arial" w:cs="Arial"/>
                <w:sz w:val="28"/>
                <w:szCs w:val="28"/>
              </w:rPr>
              <w:t>Induction Policy and Procedure</w:t>
            </w:r>
          </w:p>
        </w:tc>
        <w:tc>
          <w:tcPr>
            <w:tcW w:w="1814" w:type="pct"/>
          </w:tcPr>
          <w:p w14:paraId="37DC81A1" w14:textId="1E3366F5" w:rsidR="00876CF8" w:rsidRPr="003607AE" w:rsidRDefault="005B14DC" w:rsidP="003D3EB3">
            <w:pPr>
              <w:ind w:left="154" w:right="123"/>
              <w:rPr>
                <w:rFonts w:ascii="Arial" w:hAnsi="Arial" w:cs="Arial"/>
                <w:sz w:val="28"/>
                <w:szCs w:val="28"/>
              </w:rPr>
            </w:pPr>
            <w:r w:rsidRPr="003607AE">
              <w:rPr>
                <w:rFonts w:ascii="Arial" w:hAnsi="Arial" w:cs="Arial"/>
                <w:sz w:val="28"/>
                <w:szCs w:val="28"/>
              </w:rPr>
              <w:t>The purpose of this policy is to set out RQIA’s arrangements for the induction of staff into the organisation.</w:t>
            </w:r>
          </w:p>
        </w:tc>
        <w:tc>
          <w:tcPr>
            <w:tcW w:w="612" w:type="pct"/>
          </w:tcPr>
          <w:p w14:paraId="2165D887" w14:textId="2EC11310" w:rsidR="00876CF8" w:rsidRPr="003607AE" w:rsidRDefault="00876CF8" w:rsidP="003D3EB3">
            <w:pPr>
              <w:pStyle w:val="NormalWeb"/>
              <w:rPr>
                <w:rFonts w:ascii="Arial" w:hAnsi="Arial" w:cs="Arial"/>
                <w:color w:val="000000" w:themeColor="text1"/>
                <w:sz w:val="28"/>
                <w:szCs w:val="28"/>
              </w:rPr>
            </w:pPr>
            <w:r w:rsidRPr="003607AE">
              <w:rPr>
                <w:rFonts w:ascii="Arial" w:hAnsi="Arial" w:cs="Arial"/>
                <w:color w:val="000000" w:themeColor="text1"/>
                <w:sz w:val="28"/>
                <w:szCs w:val="28"/>
              </w:rPr>
              <w:t>Jan-25</w:t>
            </w:r>
          </w:p>
        </w:tc>
        <w:tc>
          <w:tcPr>
            <w:tcW w:w="977" w:type="pct"/>
          </w:tcPr>
          <w:p w14:paraId="5B30811E" w14:textId="5AEE261D" w:rsidR="00876CF8" w:rsidRPr="003607AE" w:rsidRDefault="00876CF8" w:rsidP="003D3EB3">
            <w:pPr>
              <w:pStyle w:val="NormalWeb"/>
              <w:rPr>
                <w:rFonts w:ascii="Arial" w:hAnsi="Arial" w:cs="Arial"/>
                <w:sz w:val="28"/>
                <w:szCs w:val="28"/>
              </w:rPr>
            </w:pPr>
            <w:r w:rsidRPr="003607AE">
              <w:rPr>
                <w:rFonts w:ascii="Arial" w:hAnsi="Arial" w:cs="Arial"/>
                <w:sz w:val="28"/>
                <w:szCs w:val="28"/>
              </w:rPr>
              <w:t>Screened out with mitigation</w:t>
            </w:r>
          </w:p>
        </w:tc>
      </w:tr>
      <w:tr w:rsidR="00723CD6" w:rsidRPr="003607AE" w14:paraId="6EB1634F" w14:textId="77777777" w:rsidTr="00B34958">
        <w:trPr>
          <w:tblCellSpacing w:w="15" w:type="dxa"/>
        </w:trPr>
        <w:tc>
          <w:tcPr>
            <w:tcW w:w="1507" w:type="pct"/>
          </w:tcPr>
          <w:p w14:paraId="30A0BC9D" w14:textId="56AD4658" w:rsidR="00723CD6" w:rsidRPr="003607AE" w:rsidRDefault="00723CD6" w:rsidP="003D3EB3">
            <w:pPr>
              <w:pStyle w:val="NormalWeb"/>
              <w:rPr>
                <w:rFonts w:ascii="Arial" w:hAnsi="Arial" w:cs="Arial"/>
                <w:sz w:val="28"/>
                <w:szCs w:val="28"/>
              </w:rPr>
            </w:pPr>
            <w:r w:rsidRPr="003607AE">
              <w:rPr>
                <w:rFonts w:ascii="Arial" w:hAnsi="Arial" w:cs="Arial"/>
                <w:sz w:val="28"/>
                <w:szCs w:val="28"/>
              </w:rPr>
              <w:t xml:space="preserve">Person Centred </w:t>
            </w:r>
            <w:r w:rsidR="008D6CB0" w:rsidRPr="003607AE">
              <w:rPr>
                <w:rFonts w:ascii="Arial" w:hAnsi="Arial" w:cs="Arial"/>
                <w:sz w:val="28"/>
                <w:szCs w:val="28"/>
              </w:rPr>
              <w:t>Supportive</w:t>
            </w:r>
            <w:r w:rsidRPr="003607AE">
              <w:rPr>
                <w:rFonts w:ascii="Arial" w:hAnsi="Arial" w:cs="Arial"/>
                <w:sz w:val="28"/>
                <w:szCs w:val="28"/>
              </w:rPr>
              <w:t xml:space="preserve"> 1:1</w:t>
            </w:r>
            <w:r w:rsidR="008D6CB0" w:rsidRPr="003607AE">
              <w:rPr>
                <w:rFonts w:ascii="Arial" w:hAnsi="Arial" w:cs="Arial"/>
                <w:sz w:val="28"/>
                <w:szCs w:val="28"/>
              </w:rPr>
              <w:t xml:space="preserve"> Policy</w:t>
            </w:r>
          </w:p>
        </w:tc>
        <w:tc>
          <w:tcPr>
            <w:tcW w:w="1814" w:type="pct"/>
          </w:tcPr>
          <w:p w14:paraId="2170A3BC" w14:textId="48D98336" w:rsidR="00723CD6" w:rsidRPr="003607AE" w:rsidRDefault="00723CD6" w:rsidP="003D3EB3">
            <w:pPr>
              <w:ind w:left="154" w:right="123"/>
              <w:rPr>
                <w:rFonts w:ascii="Arial" w:hAnsi="Arial" w:cs="Arial"/>
                <w:sz w:val="28"/>
                <w:szCs w:val="28"/>
              </w:rPr>
            </w:pPr>
            <w:r w:rsidRPr="003607AE">
              <w:rPr>
                <w:rFonts w:ascii="Arial" w:hAnsi="Arial" w:cs="Arial"/>
                <w:sz w:val="28"/>
                <w:szCs w:val="28"/>
              </w:rPr>
              <w:t xml:space="preserve">RQIA provides independent assurance about the quality, safety and availability of Health and Social Care  services, including independent sector services in Northern Ireland, while encouraging continuous improvements in these services and assisting with safeguarding the rights of services users.  To be an effective regulator it is essential that RQIA provides appropriate support, guidance, </w:t>
            </w:r>
            <w:r w:rsidR="009E3F01" w:rsidRPr="003607AE">
              <w:rPr>
                <w:rFonts w:ascii="Arial" w:hAnsi="Arial" w:cs="Arial"/>
                <w:sz w:val="28"/>
                <w:szCs w:val="28"/>
              </w:rPr>
              <w:t xml:space="preserve">1:1 </w:t>
            </w:r>
            <w:r w:rsidRPr="003607AE">
              <w:rPr>
                <w:rFonts w:ascii="Arial" w:hAnsi="Arial" w:cs="Arial"/>
                <w:sz w:val="28"/>
                <w:szCs w:val="28"/>
              </w:rPr>
              <w:t>P</w:t>
            </w:r>
            <w:r w:rsidR="009E3F01">
              <w:rPr>
                <w:rFonts w:ascii="Arial" w:hAnsi="Arial" w:cs="Arial"/>
                <w:sz w:val="28"/>
                <w:szCs w:val="28"/>
              </w:rPr>
              <w:t xml:space="preserve">erson </w:t>
            </w:r>
            <w:r w:rsidRPr="003607AE">
              <w:rPr>
                <w:rFonts w:ascii="Arial" w:hAnsi="Arial" w:cs="Arial"/>
                <w:sz w:val="28"/>
                <w:szCs w:val="28"/>
              </w:rPr>
              <w:t>C</w:t>
            </w:r>
            <w:r w:rsidR="009E3F01">
              <w:rPr>
                <w:rFonts w:ascii="Arial" w:hAnsi="Arial" w:cs="Arial"/>
                <w:sz w:val="28"/>
                <w:szCs w:val="28"/>
              </w:rPr>
              <w:t xml:space="preserve">entred </w:t>
            </w:r>
            <w:r w:rsidRPr="003607AE">
              <w:rPr>
                <w:rFonts w:ascii="Arial" w:hAnsi="Arial" w:cs="Arial"/>
                <w:sz w:val="28"/>
                <w:szCs w:val="28"/>
              </w:rPr>
              <w:t>S</w:t>
            </w:r>
            <w:r w:rsidR="009E3F01">
              <w:rPr>
                <w:rFonts w:ascii="Arial" w:hAnsi="Arial" w:cs="Arial"/>
                <w:sz w:val="28"/>
                <w:szCs w:val="28"/>
              </w:rPr>
              <w:t xml:space="preserve">upport </w:t>
            </w:r>
            <w:r w:rsidRPr="003607AE">
              <w:rPr>
                <w:rFonts w:ascii="Arial" w:hAnsi="Arial" w:cs="Arial"/>
                <w:sz w:val="28"/>
                <w:szCs w:val="28"/>
              </w:rPr>
              <w:t>and appraisal to all staff in order to effectively maintain staff health and well-being, encourage an open and supportive learning culture and maintain appropriate management governance and oversight</w:t>
            </w:r>
            <w:r w:rsidR="007F0335" w:rsidRPr="003607AE">
              <w:rPr>
                <w:rFonts w:ascii="Arial" w:hAnsi="Arial" w:cs="Arial"/>
                <w:sz w:val="28"/>
                <w:szCs w:val="28"/>
              </w:rPr>
              <w:t>.</w:t>
            </w:r>
          </w:p>
        </w:tc>
        <w:tc>
          <w:tcPr>
            <w:tcW w:w="612" w:type="pct"/>
          </w:tcPr>
          <w:p w14:paraId="79462ED2" w14:textId="3FCE7956" w:rsidR="00723CD6" w:rsidRPr="003607AE" w:rsidRDefault="00723CD6" w:rsidP="003D3EB3">
            <w:pPr>
              <w:pStyle w:val="NormalWeb"/>
              <w:rPr>
                <w:rFonts w:ascii="Arial" w:hAnsi="Arial" w:cs="Arial"/>
                <w:color w:val="000000" w:themeColor="text1"/>
                <w:sz w:val="28"/>
                <w:szCs w:val="28"/>
              </w:rPr>
            </w:pPr>
            <w:r w:rsidRPr="003607AE">
              <w:rPr>
                <w:rFonts w:ascii="Arial" w:hAnsi="Arial" w:cs="Arial"/>
                <w:color w:val="000000" w:themeColor="text1"/>
                <w:sz w:val="28"/>
                <w:szCs w:val="28"/>
              </w:rPr>
              <w:t>Jun-24</w:t>
            </w:r>
          </w:p>
        </w:tc>
        <w:tc>
          <w:tcPr>
            <w:tcW w:w="977" w:type="pct"/>
          </w:tcPr>
          <w:p w14:paraId="147F3217" w14:textId="16EB8596" w:rsidR="00723CD6" w:rsidRPr="003607AE" w:rsidRDefault="00723CD6" w:rsidP="003D3EB3">
            <w:pPr>
              <w:pStyle w:val="NormalWeb"/>
              <w:rPr>
                <w:rFonts w:ascii="Arial" w:hAnsi="Arial" w:cs="Arial"/>
                <w:color w:val="000000" w:themeColor="text1"/>
                <w:sz w:val="28"/>
                <w:szCs w:val="28"/>
              </w:rPr>
            </w:pPr>
            <w:r w:rsidRPr="003607AE">
              <w:rPr>
                <w:rFonts w:ascii="Arial" w:hAnsi="Arial" w:cs="Arial"/>
                <w:sz w:val="28"/>
                <w:szCs w:val="28"/>
              </w:rPr>
              <w:t>Screened out with mitigation</w:t>
            </w:r>
          </w:p>
        </w:tc>
      </w:tr>
      <w:tr w:rsidR="003D3EB3" w:rsidRPr="003607AE" w14:paraId="2AD57653" w14:textId="77777777" w:rsidTr="00B34958">
        <w:trPr>
          <w:tblCellSpacing w:w="15" w:type="dxa"/>
        </w:trPr>
        <w:tc>
          <w:tcPr>
            <w:tcW w:w="1507" w:type="pct"/>
          </w:tcPr>
          <w:p w14:paraId="65F88EC7" w14:textId="33FA6064" w:rsidR="003D3EB3" w:rsidRPr="003607AE" w:rsidRDefault="003D3EB3" w:rsidP="003D3EB3">
            <w:pPr>
              <w:pStyle w:val="NormalWeb"/>
              <w:rPr>
                <w:rFonts w:ascii="Arial" w:hAnsi="Arial" w:cs="Arial"/>
                <w:color w:val="000000" w:themeColor="text1"/>
                <w:sz w:val="28"/>
                <w:szCs w:val="28"/>
                <w:lang w:eastAsia="en-US"/>
              </w:rPr>
            </w:pPr>
            <w:r w:rsidRPr="003607AE">
              <w:rPr>
                <w:rFonts w:ascii="Arial" w:hAnsi="Arial" w:cs="Arial"/>
                <w:sz w:val="28"/>
                <w:szCs w:val="28"/>
              </w:rPr>
              <w:t>Policy for the management, review of and regulatory response to intelligence deriving from Serious Adverse Incident Notifications and Review Reports received by RQIA</w:t>
            </w:r>
          </w:p>
        </w:tc>
        <w:tc>
          <w:tcPr>
            <w:tcW w:w="1814" w:type="pct"/>
          </w:tcPr>
          <w:p w14:paraId="57B8033B" w14:textId="48E3A322" w:rsidR="003D3EB3" w:rsidRPr="003607AE" w:rsidRDefault="003D3EB3" w:rsidP="003D3EB3">
            <w:pPr>
              <w:ind w:left="154" w:right="123"/>
              <w:rPr>
                <w:rFonts w:ascii="Arial" w:hAnsi="Arial" w:cs="Arial"/>
                <w:color w:val="000000" w:themeColor="text1"/>
                <w:sz w:val="28"/>
                <w:szCs w:val="28"/>
                <w:lang w:eastAsia="en-US"/>
              </w:rPr>
            </w:pPr>
            <w:r w:rsidRPr="003607AE">
              <w:rPr>
                <w:rFonts w:ascii="Arial" w:hAnsi="Arial" w:cs="Arial"/>
                <w:sz w:val="28"/>
                <w:szCs w:val="28"/>
              </w:rPr>
              <w:t>The purpose of this policy is to set out RQIA’s arrangements for considering the intelligence held within SAI Notifications and Reports sent to RQIA.  In doing so, we will work jointly with the HSC Trusts, the Strategic Planning and Performance Group of the Department of Health (SPPG) and the Public Health Agency (PHA) to drive improvements in the safety and quality of care provided across community services and hospital settings</w:t>
            </w:r>
            <w:r w:rsidR="007F0335" w:rsidRPr="003607AE">
              <w:rPr>
                <w:rFonts w:ascii="Arial" w:hAnsi="Arial" w:cs="Arial"/>
                <w:sz w:val="28"/>
                <w:szCs w:val="28"/>
              </w:rPr>
              <w:t>.</w:t>
            </w:r>
          </w:p>
        </w:tc>
        <w:tc>
          <w:tcPr>
            <w:tcW w:w="612" w:type="pct"/>
          </w:tcPr>
          <w:p w14:paraId="4960CECB" w14:textId="67D128C0" w:rsidR="003D3EB3" w:rsidRPr="003607AE" w:rsidRDefault="003D3EB3" w:rsidP="003D3EB3">
            <w:pPr>
              <w:pStyle w:val="NormalWeb"/>
              <w:rPr>
                <w:rFonts w:ascii="Arial" w:hAnsi="Arial" w:cs="Arial"/>
                <w:color w:val="000000" w:themeColor="text1"/>
                <w:sz w:val="28"/>
                <w:szCs w:val="28"/>
              </w:rPr>
            </w:pPr>
            <w:r w:rsidRPr="003607AE">
              <w:rPr>
                <w:rFonts w:ascii="Arial" w:hAnsi="Arial" w:cs="Arial"/>
                <w:color w:val="000000" w:themeColor="text1"/>
                <w:sz w:val="28"/>
                <w:szCs w:val="28"/>
              </w:rPr>
              <w:t>May-24</w:t>
            </w:r>
          </w:p>
        </w:tc>
        <w:tc>
          <w:tcPr>
            <w:tcW w:w="977" w:type="pct"/>
          </w:tcPr>
          <w:p w14:paraId="21EA0BDA" w14:textId="084CF510" w:rsidR="003D3EB3" w:rsidRPr="003607AE" w:rsidRDefault="003D3EB3" w:rsidP="003D3EB3">
            <w:pPr>
              <w:pStyle w:val="NormalWeb"/>
              <w:rPr>
                <w:rFonts w:ascii="Arial" w:hAnsi="Arial" w:cs="Arial"/>
                <w:color w:val="000000" w:themeColor="text1"/>
                <w:sz w:val="28"/>
                <w:szCs w:val="28"/>
              </w:rPr>
            </w:pPr>
            <w:r w:rsidRPr="003607AE">
              <w:rPr>
                <w:rFonts w:ascii="Arial" w:hAnsi="Arial" w:cs="Arial"/>
                <w:color w:val="000000" w:themeColor="text1"/>
                <w:sz w:val="28"/>
                <w:szCs w:val="28"/>
              </w:rPr>
              <w:t>Screened out without mitigation</w:t>
            </w:r>
          </w:p>
        </w:tc>
      </w:tr>
      <w:tr w:rsidR="003D3EB3" w:rsidRPr="003607AE" w14:paraId="7EA16216" w14:textId="77777777" w:rsidTr="00B34958">
        <w:trPr>
          <w:tblCellSpacing w:w="15" w:type="dxa"/>
        </w:trPr>
        <w:tc>
          <w:tcPr>
            <w:tcW w:w="1507" w:type="pct"/>
          </w:tcPr>
          <w:p w14:paraId="66A95258" w14:textId="542741FA" w:rsidR="003D3EB3" w:rsidRPr="003607AE" w:rsidRDefault="00925CD8" w:rsidP="003D3EB3">
            <w:pPr>
              <w:pStyle w:val="NormalWeb"/>
              <w:rPr>
                <w:rFonts w:ascii="Arial" w:hAnsi="Arial" w:cs="Arial"/>
                <w:sz w:val="28"/>
                <w:szCs w:val="28"/>
              </w:rPr>
            </w:pPr>
            <w:r w:rsidRPr="003607AE">
              <w:rPr>
                <w:rFonts w:ascii="Arial" w:hAnsi="Arial" w:cs="Arial"/>
                <w:sz w:val="28"/>
                <w:szCs w:val="28"/>
              </w:rPr>
              <w:t>Social Media Policy</w:t>
            </w:r>
          </w:p>
        </w:tc>
        <w:tc>
          <w:tcPr>
            <w:tcW w:w="1814" w:type="pct"/>
          </w:tcPr>
          <w:p w14:paraId="08C8F59B" w14:textId="2BC69DAA" w:rsidR="003D3EB3" w:rsidRPr="003607AE" w:rsidRDefault="00925CD8" w:rsidP="003D3EB3">
            <w:pPr>
              <w:rPr>
                <w:rFonts w:ascii="Arial" w:hAnsi="Arial" w:cs="Arial"/>
                <w:sz w:val="28"/>
                <w:szCs w:val="28"/>
              </w:rPr>
            </w:pPr>
            <w:r w:rsidRPr="003607AE">
              <w:rPr>
                <w:rFonts w:ascii="Arial" w:hAnsi="Arial" w:cs="Arial"/>
                <w:sz w:val="28"/>
                <w:szCs w:val="28"/>
              </w:rPr>
              <w:t>This Policy is for the use of RQIA staff and is designed: To promote good practice in the use of Social Media and adherence to acceptable standards of use</w:t>
            </w:r>
            <w:r w:rsidR="00224956">
              <w:rPr>
                <w:rFonts w:ascii="Arial" w:hAnsi="Arial" w:cs="Arial"/>
                <w:sz w:val="28"/>
                <w:szCs w:val="28"/>
              </w:rPr>
              <w:t>;</w:t>
            </w:r>
            <w:r w:rsidRPr="003607AE">
              <w:rPr>
                <w:rFonts w:ascii="Arial" w:hAnsi="Arial" w:cs="Arial"/>
                <w:sz w:val="28"/>
                <w:szCs w:val="28"/>
              </w:rPr>
              <w:t xml:space="preserve"> </w:t>
            </w:r>
            <w:r w:rsidR="00224956">
              <w:rPr>
                <w:rFonts w:ascii="Arial" w:hAnsi="Arial" w:cs="Arial"/>
                <w:sz w:val="28"/>
                <w:szCs w:val="28"/>
              </w:rPr>
              <w:t>t</w:t>
            </w:r>
            <w:r w:rsidRPr="003607AE">
              <w:rPr>
                <w:rFonts w:ascii="Arial" w:hAnsi="Arial" w:cs="Arial"/>
                <w:sz w:val="28"/>
                <w:szCs w:val="28"/>
              </w:rPr>
              <w:t>o support the use of Social Media as a mechanism to engage with staff and stakeholders, receive feedback and expose to new products and innovative ideas. The Policy lays out a framework for good practice in the use of social media, and measures to eradicate unacceptable use.</w:t>
            </w:r>
          </w:p>
        </w:tc>
        <w:tc>
          <w:tcPr>
            <w:tcW w:w="612" w:type="pct"/>
          </w:tcPr>
          <w:p w14:paraId="2082E38C" w14:textId="10CD4AB2" w:rsidR="003D3EB3" w:rsidRPr="003607AE" w:rsidRDefault="003241FA" w:rsidP="003D3EB3">
            <w:pPr>
              <w:pStyle w:val="NormalWeb"/>
              <w:rPr>
                <w:rFonts w:ascii="Arial" w:hAnsi="Arial" w:cs="Arial"/>
                <w:color w:val="000000" w:themeColor="text1"/>
                <w:sz w:val="28"/>
                <w:szCs w:val="28"/>
                <w:lang w:eastAsia="en-US"/>
              </w:rPr>
            </w:pPr>
            <w:r w:rsidRPr="003607AE">
              <w:rPr>
                <w:rFonts w:ascii="Arial" w:hAnsi="Arial" w:cs="Arial"/>
                <w:color w:val="000000" w:themeColor="text1"/>
                <w:sz w:val="28"/>
                <w:szCs w:val="28"/>
                <w:lang w:eastAsia="en-US"/>
              </w:rPr>
              <w:t>Dec</w:t>
            </w:r>
            <w:r w:rsidR="00925CD8" w:rsidRPr="003607AE">
              <w:rPr>
                <w:rFonts w:ascii="Arial" w:hAnsi="Arial" w:cs="Arial"/>
                <w:color w:val="000000" w:themeColor="text1"/>
                <w:sz w:val="28"/>
                <w:szCs w:val="28"/>
                <w:lang w:eastAsia="en-US"/>
              </w:rPr>
              <w:t>-24</w:t>
            </w:r>
          </w:p>
        </w:tc>
        <w:tc>
          <w:tcPr>
            <w:tcW w:w="977" w:type="pct"/>
          </w:tcPr>
          <w:p w14:paraId="58603A17" w14:textId="3C739601" w:rsidR="003D3EB3" w:rsidRPr="003607AE" w:rsidRDefault="00925CD8" w:rsidP="003D3EB3">
            <w:pPr>
              <w:pStyle w:val="NormalWeb"/>
              <w:rPr>
                <w:rFonts w:ascii="Arial" w:hAnsi="Arial" w:cs="Arial"/>
                <w:color w:val="000000" w:themeColor="text1"/>
                <w:sz w:val="28"/>
                <w:szCs w:val="28"/>
                <w:lang w:eastAsia="en-US"/>
              </w:rPr>
            </w:pPr>
            <w:r w:rsidRPr="003607AE">
              <w:rPr>
                <w:rFonts w:ascii="Arial" w:hAnsi="Arial" w:cs="Arial"/>
                <w:color w:val="000000" w:themeColor="text1"/>
                <w:sz w:val="28"/>
                <w:szCs w:val="28"/>
              </w:rPr>
              <w:t>Screened out with mitigation</w:t>
            </w:r>
          </w:p>
        </w:tc>
      </w:tr>
    </w:tbl>
    <w:p w14:paraId="01DB97A2" w14:textId="5163B21D" w:rsidR="00777843" w:rsidRDefault="00777843" w:rsidP="00777843">
      <w:pPr>
        <w:pStyle w:val="NormalWeb"/>
      </w:pPr>
      <w:r w:rsidRPr="003607AE">
        <w:rPr>
          <w:rFonts w:ascii="Arial" w:hAnsi="Arial" w:cs="Arial"/>
          <w:sz w:val="28"/>
          <w:szCs w:val="28"/>
        </w:rPr>
        <w:t>No concerns were raised by consultees on any of the screenings</w:t>
      </w:r>
      <w:r>
        <w:rPr>
          <w:rFonts w:ascii="Arial" w:hAnsi="Arial" w:cs="Arial"/>
          <w:sz w:val="28"/>
          <w:szCs w:val="28"/>
        </w:rPr>
        <w:t xml:space="preserve"> published in 202</w:t>
      </w:r>
      <w:r w:rsidR="00723CD6">
        <w:rPr>
          <w:rFonts w:ascii="Arial" w:hAnsi="Arial" w:cs="Arial"/>
          <w:sz w:val="28"/>
          <w:szCs w:val="28"/>
        </w:rPr>
        <w:t>4</w:t>
      </w:r>
      <w:r>
        <w:rPr>
          <w:rFonts w:ascii="Arial" w:hAnsi="Arial" w:cs="Arial"/>
          <w:sz w:val="28"/>
          <w:szCs w:val="28"/>
        </w:rPr>
        <w:t>-</w:t>
      </w:r>
      <w:r w:rsidR="00723CD6">
        <w:rPr>
          <w:rFonts w:ascii="Arial" w:hAnsi="Arial" w:cs="Arial"/>
          <w:sz w:val="28"/>
          <w:szCs w:val="28"/>
        </w:rPr>
        <w:t>25.</w:t>
      </w:r>
    </w:p>
    <w:sectPr w:rsidR="00777843" w:rsidSect="00C80A55">
      <w:type w:val="continuous"/>
      <w:pgSz w:w="11906" w:h="16838" w:code="9"/>
      <w:pgMar w:top="1440" w:right="1440" w:bottom="1440" w:left="1440"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8B2F9" w14:textId="77777777" w:rsidR="00291CCD" w:rsidRDefault="00291CCD" w:rsidP="007A2960">
      <w:r>
        <w:separator/>
      </w:r>
    </w:p>
  </w:endnote>
  <w:endnote w:type="continuationSeparator" w:id="0">
    <w:p w14:paraId="76CC6E1A" w14:textId="77777777" w:rsidR="00291CCD" w:rsidRDefault="00291CCD" w:rsidP="007A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24740"/>
      <w:docPartObj>
        <w:docPartGallery w:val="Page Numbers (Bottom of Page)"/>
        <w:docPartUnique/>
      </w:docPartObj>
    </w:sdtPr>
    <w:sdtEndPr>
      <w:rPr>
        <w:noProof/>
      </w:rPr>
    </w:sdtEndPr>
    <w:sdtContent>
      <w:p w14:paraId="0733C88C" w14:textId="7B40B694" w:rsidR="008E7191" w:rsidRDefault="008E7191">
        <w:pPr>
          <w:pStyle w:val="Footer"/>
          <w:jc w:val="center"/>
        </w:pPr>
        <w:r>
          <w:fldChar w:fldCharType="begin"/>
        </w:r>
        <w:r>
          <w:instrText xml:space="preserve"> PAGE   \* MERGEFORMAT </w:instrText>
        </w:r>
        <w:r>
          <w:fldChar w:fldCharType="separate"/>
        </w:r>
        <w:r w:rsidR="004539C5">
          <w:rPr>
            <w:noProof/>
          </w:rPr>
          <w:t>44</w:t>
        </w:r>
        <w:r>
          <w:rPr>
            <w:noProof/>
          </w:rPr>
          <w:fldChar w:fldCharType="end"/>
        </w:r>
      </w:p>
    </w:sdtContent>
  </w:sdt>
  <w:p w14:paraId="69DD632B" w14:textId="77777777" w:rsidR="007A2960" w:rsidRDefault="007A2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7F35" w14:textId="77777777" w:rsidR="00291CCD" w:rsidRDefault="00291CCD" w:rsidP="007A2960">
      <w:r>
        <w:separator/>
      </w:r>
    </w:p>
  </w:footnote>
  <w:footnote w:type="continuationSeparator" w:id="0">
    <w:p w14:paraId="31C9BD0C" w14:textId="77777777" w:rsidR="00291CCD" w:rsidRDefault="00291CCD" w:rsidP="007A2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7AC"/>
    <w:multiLevelType w:val="multilevel"/>
    <w:tmpl w:val="6116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9E"/>
    <w:rsid w:val="000144D9"/>
    <w:rsid w:val="00035DE7"/>
    <w:rsid w:val="00050802"/>
    <w:rsid w:val="000A20E0"/>
    <w:rsid w:val="00147699"/>
    <w:rsid w:val="00194B40"/>
    <w:rsid w:val="001C1EC4"/>
    <w:rsid w:val="001E40AD"/>
    <w:rsid w:val="00221DAF"/>
    <w:rsid w:val="00224956"/>
    <w:rsid w:val="00233707"/>
    <w:rsid w:val="00245BA3"/>
    <w:rsid w:val="00291CCD"/>
    <w:rsid w:val="002C67DF"/>
    <w:rsid w:val="002D5CE4"/>
    <w:rsid w:val="003241FA"/>
    <w:rsid w:val="00343799"/>
    <w:rsid w:val="003552E2"/>
    <w:rsid w:val="003607AE"/>
    <w:rsid w:val="003766C3"/>
    <w:rsid w:val="003964EE"/>
    <w:rsid w:val="003C156B"/>
    <w:rsid w:val="003D3A9A"/>
    <w:rsid w:val="003D3EB3"/>
    <w:rsid w:val="004539C5"/>
    <w:rsid w:val="004D4E2F"/>
    <w:rsid w:val="00504E62"/>
    <w:rsid w:val="00505AAD"/>
    <w:rsid w:val="00515B81"/>
    <w:rsid w:val="00543DFD"/>
    <w:rsid w:val="00577B9E"/>
    <w:rsid w:val="005939DB"/>
    <w:rsid w:val="005978FE"/>
    <w:rsid w:val="005B14DC"/>
    <w:rsid w:val="005E0D17"/>
    <w:rsid w:val="005F6C2A"/>
    <w:rsid w:val="00613B0E"/>
    <w:rsid w:val="00640EBF"/>
    <w:rsid w:val="00654B2F"/>
    <w:rsid w:val="00661B3E"/>
    <w:rsid w:val="006662B8"/>
    <w:rsid w:val="00694393"/>
    <w:rsid w:val="006C4C3F"/>
    <w:rsid w:val="00723CD6"/>
    <w:rsid w:val="00730BFA"/>
    <w:rsid w:val="00772301"/>
    <w:rsid w:val="00772A21"/>
    <w:rsid w:val="00777843"/>
    <w:rsid w:val="007846DF"/>
    <w:rsid w:val="00785BF9"/>
    <w:rsid w:val="0079708A"/>
    <w:rsid w:val="007A2960"/>
    <w:rsid w:val="007A739B"/>
    <w:rsid w:val="007C6CA3"/>
    <w:rsid w:val="007F0335"/>
    <w:rsid w:val="00833504"/>
    <w:rsid w:val="008706F9"/>
    <w:rsid w:val="008734B7"/>
    <w:rsid w:val="00876CF8"/>
    <w:rsid w:val="008C5E7D"/>
    <w:rsid w:val="008D6CB0"/>
    <w:rsid w:val="008E7191"/>
    <w:rsid w:val="00905EE7"/>
    <w:rsid w:val="00912D41"/>
    <w:rsid w:val="00925CD8"/>
    <w:rsid w:val="0094356F"/>
    <w:rsid w:val="0096456F"/>
    <w:rsid w:val="009B5E2C"/>
    <w:rsid w:val="009B7078"/>
    <w:rsid w:val="009E3F01"/>
    <w:rsid w:val="00A336E8"/>
    <w:rsid w:val="00A551AB"/>
    <w:rsid w:val="00A61B8C"/>
    <w:rsid w:val="00A8220B"/>
    <w:rsid w:val="00A86BAD"/>
    <w:rsid w:val="00AD5B89"/>
    <w:rsid w:val="00B34958"/>
    <w:rsid w:val="00B51E7A"/>
    <w:rsid w:val="00B6360F"/>
    <w:rsid w:val="00B83B24"/>
    <w:rsid w:val="00B8700D"/>
    <w:rsid w:val="00C32BA5"/>
    <w:rsid w:val="00C37D38"/>
    <w:rsid w:val="00C620CC"/>
    <w:rsid w:val="00C624DF"/>
    <w:rsid w:val="00C65425"/>
    <w:rsid w:val="00C6677C"/>
    <w:rsid w:val="00C80A55"/>
    <w:rsid w:val="00CA1E70"/>
    <w:rsid w:val="00CF2F52"/>
    <w:rsid w:val="00D4484B"/>
    <w:rsid w:val="00D46D7E"/>
    <w:rsid w:val="00D71767"/>
    <w:rsid w:val="00DA138A"/>
    <w:rsid w:val="00DD71D5"/>
    <w:rsid w:val="00DE7F9D"/>
    <w:rsid w:val="00DF5297"/>
    <w:rsid w:val="00E60F02"/>
    <w:rsid w:val="00EE5D81"/>
    <w:rsid w:val="00EE7052"/>
    <w:rsid w:val="00EF5BAE"/>
    <w:rsid w:val="00F07E19"/>
    <w:rsid w:val="00F1123E"/>
    <w:rsid w:val="00F231DA"/>
    <w:rsid w:val="00F37331"/>
    <w:rsid w:val="00F9099E"/>
    <w:rsid w:val="00F92F6E"/>
    <w:rsid w:val="00FA4169"/>
    <w:rsid w:val="00FB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71D2"/>
  <w15:docId w15:val="{A2154320-30EB-4A19-B32E-6B07C163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B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7B9E"/>
    <w:pPr>
      <w:spacing w:before="100" w:beforeAutospacing="1" w:after="100" w:afterAutospacing="1"/>
    </w:pPr>
  </w:style>
  <w:style w:type="character" w:styleId="Strong">
    <w:name w:val="Strong"/>
    <w:basedOn w:val="DefaultParagraphFont"/>
    <w:uiPriority w:val="22"/>
    <w:qFormat/>
    <w:rsid w:val="00577B9E"/>
    <w:rPr>
      <w:b/>
      <w:bCs/>
    </w:rPr>
  </w:style>
  <w:style w:type="character" w:styleId="Hyperlink">
    <w:name w:val="Hyperlink"/>
    <w:basedOn w:val="DefaultParagraphFont"/>
    <w:uiPriority w:val="99"/>
    <w:unhideWhenUsed/>
    <w:rsid w:val="00577B9E"/>
    <w:rPr>
      <w:color w:val="0000FF"/>
      <w:u w:val="single"/>
    </w:rPr>
  </w:style>
  <w:style w:type="paragraph" w:styleId="BalloonText">
    <w:name w:val="Balloon Text"/>
    <w:basedOn w:val="Normal"/>
    <w:link w:val="BalloonTextChar"/>
    <w:uiPriority w:val="99"/>
    <w:semiHidden/>
    <w:unhideWhenUsed/>
    <w:rsid w:val="00F231DA"/>
    <w:rPr>
      <w:rFonts w:ascii="Tahoma" w:hAnsi="Tahoma" w:cs="Tahoma"/>
      <w:sz w:val="16"/>
      <w:szCs w:val="16"/>
    </w:rPr>
  </w:style>
  <w:style w:type="character" w:customStyle="1" w:styleId="BalloonTextChar">
    <w:name w:val="Balloon Text Char"/>
    <w:basedOn w:val="DefaultParagraphFont"/>
    <w:link w:val="BalloonText"/>
    <w:uiPriority w:val="99"/>
    <w:semiHidden/>
    <w:rsid w:val="00F231DA"/>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050802"/>
    <w:rPr>
      <w:sz w:val="16"/>
      <w:szCs w:val="16"/>
    </w:rPr>
  </w:style>
  <w:style w:type="paragraph" w:styleId="CommentText">
    <w:name w:val="annotation text"/>
    <w:basedOn w:val="Normal"/>
    <w:link w:val="CommentTextChar"/>
    <w:uiPriority w:val="99"/>
    <w:semiHidden/>
    <w:unhideWhenUsed/>
    <w:rsid w:val="00050802"/>
    <w:rPr>
      <w:sz w:val="20"/>
      <w:szCs w:val="20"/>
    </w:rPr>
  </w:style>
  <w:style w:type="character" w:customStyle="1" w:styleId="CommentTextChar">
    <w:name w:val="Comment Text Char"/>
    <w:basedOn w:val="DefaultParagraphFont"/>
    <w:link w:val="CommentText"/>
    <w:uiPriority w:val="99"/>
    <w:semiHidden/>
    <w:rsid w:val="0005080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50802"/>
    <w:rPr>
      <w:b/>
      <w:bCs/>
    </w:rPr>
  </w:style>
  <w:style w:type="character" w:customStyle="1" w:styleId="CommentSubjectChar">
    <w:name w:val="Comment Subject Char"/>
    <w:basedOn w:val="CommentTextChar"/>
    <w:link w:val="CommentSubject"/>
    <w:uiPriority w:val="99"/>
    <w:semiHidden/>
    <w:rsid w:val="00050802"/>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7A2960"/>
    <w:pPr>
      <w:tabs>
        <w:tab w:val="center" w:pos="4513"/>
        <w:tab w:val="right" w:pos="9026"/>
      </w:tabs>
    </w:pPr>
  </w:style>
  <w:style w:type="character" w:customStyle="1" w:styleId="HeaderChar">
    <w:name w:val="Header Char"/>
    <w:basedOn w:val="DefaultParagraphFont"/>
    <w:link w:val="Header"/>
    <w:uiPriority w:val="99"/>
    <w:rsid w:val="007A296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A2960"/>
    <w:pPr>
      <w:tabs>
        <w:tab w:val="center" w:pos="4513"/>
        <w:tab w:val="right" w:pos="9026"/>
      </w:tabs>
    </w:pPr>
  </w:style>
  <w:style w:type="character" w:customStyle="1" w:styleId="FooterChar">
    <w:name w:val="Footer Char"/>
    <w:basedOn w:val="DefaultParagraphFont"/>
    <w:link w:val="Footer"/>
    <w:uiPriority w:val="99"/>
    <w:rsid w:val="007A2960"/>
    <w:rPr>
      <w:rFonts w:ascii="Times New Roman" w:eastAsia="Times New Roman" w:hAnsi="Times New Roman" w:cs="Times New Roman"/>
      <w:sz w:val="24"/>
      <w:szCs w:val="24"/>
      <w:lang w:eastAsia="en-GB"/>
    </w:rPr>
  </w:style>
  <w:style w:type="character" w:styleId="PageNumber">
    <w:name w:val="page number"/>
    <w:basedOn w:val="DefaultParagraphFont"/>
    <w:rsid w:val="00A86BAD"/>
  </w:style>
  <w:style w:type="character" w:styleId="FollowedHyperlink">
    <w:name w:val="FollowedHyperlink"/>
    <w:basedOn w:val="DefaultParagraphFont"/>
    <w:uiPriority w:val="99"/>
    <w:semiHidden/>
    <w:unhideWhenUsed/>
    <w:rsid w:val="005978FE"/>
    <w:rPr>
      <w:color w:val="800080" w:themeColor="followedHyperlink"/>
      <w:u w:val="single"/>
    </w:rPr>
  </w:style>
  <w:style w:type="character" w:customStyle="1" w:styleId="UnresolvedMention">
    <w:name w:val="Unresolved Mention"/>
    <w:basedOn w:val="DefaultParagraphFont"/>
    <w:uiPriority w:val="99"/>
    <w:semiHidden/>
    <w:unhideWhenUsed/>
    <w:rsid w:val="0072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4685">
      <w:bodyDiv w:val="1"/>
      <w:marLeft w:val="0"/>
      <w:marRight w:val="0"/>
      <w:marTop w:val="0"/>
      <w:marBottom w:val="0"/>
      <w:divBdr>
        <w:top w:val="none" w:sz="0" w:space="0" w:color="auto"/>
        <w:left w:val="none" w:sz="0" w:space="0" w:color="auto"/>
        <w:bottom w:val="none" w:sz="0" w:space="0" w:color="auto"/>
        <w:right w:val="none" w:sz="0" w:space="0" w:color="auto"/>
      </w:divBdr>
    </w:div>
    <w:div w:id="1127046831">
      <w:bodyDiv w:val="1"/>
      <w:marLeft w:val="0"/>
      <w:marRight w:val="0"/>
      <w:marTop w:val="0"/>
      <w:marBottom w:val="0"/>
      <w:divBdr>
        <w:top w:val="none" w:sz="0" w:space="0" w:color="auto"/>
        <w:left w:val="none" w:sz="0" w:space="0" w:color="auto"/>
        <w:bottom w:val="none" w:sz="0" w:space="0" w:color="auto"/>
        <w:right w:val="none" w:sz="0" w:space="0" w:color="auto"/>
      </w:divBdr>
    </w:div>
    <w:div w:id="1216818358">
      <w:bodyDiv w:val="1"/>
      <w:marLeft w:val="0"/>
      <w:marRight w:val="0"/>
      <w:marTop w:val="0"/>
      <w:marBottom w:val="0"/>
      <w:divBdr>
        <w:top w:val="none" w:sz="0" w:space="0" w:color="auto"/>
        <w:left w:val="none" w:sz="0" w:space="0" w:color="auto"/>
        <w:bottom w:val="none" w:sz="0" w:space="0" w:color="auto"/>
        <w:right w:val="none" w:sz="0" w:space="0" w:color="auto"/>
      </w:divBdr>
    </w:div>
    <w:div w:id="1256401325">
      <w:bodyDiv w:val="1"/>
      <w:marLeft w:val="0"/>
      <w:marRight w:val="0"/>
      <w:marTop w:val="0"/>
      <w:marBottom w:val="0"/>
      <w:divBdr>
        <w:top w:val="none" w:sz="0" w:space="0" w:color="auto"/>
        <w:left w:val="none" w:sz="0" w:space="0" w:color="auto"/>
        <w:bottom w:val="none" w:sz="0" w:space="0" w:color="auto"/>
        <w:right w:val="none" w:sz="0" w:space="0" w:color="auto"/>
      </w:divBdr>
    </w:div>
    <w:div w:id="1269779010">
      <w:bodyDiv w:val="1"/>
      <w:marLeft w:val="0"/>
      <w:marRight w:val="0"/>
      <w:marTop w:val="0"/>
      <w:marBottom w:val="0"/>
      <w:divBdr>
        <w:top w:val="none" w:sz="0" w:space="0" w:color="auto"/>
        <w:left w:val="none" w:sz="0" w:space="0" w:color="auto"/>
        <w:bottom w:val="none" w:sz="0" w:space="0" w:color="auto"/>
        <w:right w:val="none" w:sz="0" w:space="0" w:color="auto"/>
      </w:divBdr>
    </w:div>
    <w:div w:id="1559047839">
      <w:bodyDiv w:val="1"/>
      <w:marLeft w:val="0"/>
      <w:marRight w:val="0"/>
      <w:marTop w:val="0"/>
      <w:marBottom w:val="0"/>
      <w:divBdr>
        <w:top w:val="none" w:sz="0" w:space="0" w:color="auto"/>
        <w:left w:val="none" w:sz="0" w:space="0" w:color="auto"/>
        <w:bottom w:val="none" w:sz="0" w:space="0" w:color="auto"/>
        <w:right w:val="none" w:sz="0" w:space="0" w:color="auto"/>
      </w:divBdr>
    </w:div>
    <w:div w:id="1636518857">
      <w:bodyDiv w:val="1"/>
      <w:marLeft w:val="0"/>
      <w:marRight w:val="0"/>
      <w:marTop w:val="0"/>
      <w:marBottom w:val="0"/>
      <w:divBdr>
        <w:top w:val="none" w:sz="0" w:space="0" w:color="auto"/>
        <w:left w:val="none" w:sz="0" w:space="0" w:color="auto"/>
        <w:bottom w:val="none" w:sz="0" w:space="0" w:color="auto"/>
        <w:right w:val="none" w:sz="0" w:space="0" w:color="auto"/>
      </w:divBdr>
    </w:div>
    <w:div w:id="1793673537">
      <w:bodyDiv w:val="1"/>
      <w:marLeft w:val="0"/>
      <w:marRight w:val="0"/>
      <w:marTop w:val="0"/>
      <w:marBottom w:val="0"/>
      <w:divBdr>
        <w:top w:val="none" w:sz="0" w:space="0" w:color="auto"/>
        <w:left w:val="none" w:sz="0" w:space="0" w:color="auto"/>
        <w:bottom w:val="none" w:sz="0" w:space="0" w:color="auto"/>
        <w:right w:val="none" w:sz="0" w:space="0" w:color="auto"/>
      </w:divBdr>
    </w:div>
    <w:div w:id="2025281406">
      <w:bodyDiv w:val="1"/>
      <w:marLeft w:val="0"/>
      <w:marRight w:val="0"/>
      <w:marTop w:val="0"/>
      <w:marBottom w:val="0"/>
      <w:divBdr>
        <w:top w:val="none" w:sz="0" w:space="0" w:color="auto"/>
        <w:left w:val="none" w:sz="0" w:space="0" w:color="auto"/>
        <w:bottom w:val="none" w:sz="0" w:space="0" w:color="auto"/>
        <w:right w:val="none" w:sz="0" w:space="0" w:color="auto"/>
      </w:divBdr>
    </w:div>
    <w:div w:id="20665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so.hscni.net/directorates/people-and-place/equality-and-human-rights/equality-screeni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20320-E670-4CA4-8E71-032C1316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Coyle</dc:creator>
  <cp:lastModifiedBy>Jane Mullin</cp:lastModifiedBy>
  <cp:revision>2</cp:revision>
  <cp:lastPrinted>2018-04-17T11:05:00Z</cp:lastPrinted>
  <dcterms:created xsi:type="dcterms:W3CDTF">2025-08-21T15:51:00Z</dcterms:created>
  <dcterms:modified xsi:type="dcterms:W3CDTF">2025-08-21T15:51:00Z</dcterms:modified>
</cp:coreProperties>
</file>